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2017/399 vom 7. März 2019</w:t>
      </w:r>
    </w:p>
    <w:p>
      <w:r>
        <w:t>Sg Versicherungsgericht, 2019-03-07, DE</w:t>
      </w:r>
    </w:p>
    <w:p>
      <w:r>
        <w:rPr>
          <w:b/>
        </w:rPr>
        <w:t xml:space="preserve">Quelle: </w:t>
      </w:r>
      <w:r>
        <w:t>https://mcp.opencaselaw.ch/entscheid/sg_publikationen_IV 2017_399</w:t>
      </w:r>
    </w:p>
    <w:p>
      <w:r>
        <w:t>FR: SG_VERSICHERUNGSGERICHT IV 2017/399 du 7 mars 2019</w:t>
      </w:r>
    </w:p>
    <w:p>
      <w:r>
        <w:t>IT: SG_VERSICHERUNGSGERICHT IV 2017/399 del 7 marzo 2019</w:t>
      </w:r>
    </w:p>
    <w:p>
      <w:pPr>
        <w:pStyle w:val="Heading2"/>
      </w:pPr>
      <w:r>
        <w:t>Regeste</w:t>
      </w:r>
    </w:p>
    <w:p>
      <w:r>
        <w:t>Art. 7 ATSG; Art. 8 ATSG; Art. 16 ATSG: Es liegt ein als beweiskräftig zu beurteilendes Gutachten vor, wonach beim Beschwerdeführer aus psychiatrischer Sicht eine Arbeitsunfähigkeit von 50 % bestehe. Da das Gutachten jedoch keine schweren Einschränkungen beschreibt, ist invalidenversicherungsrechtlich interdisziplinär die aus somatischer Sicht attestierte Arbeitsfähigkeit von 65 % massgebend (Entscheid des Versicherungsgerichts des Kantons St. Gallen vom 7. März 2019, IV 2017/399).</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In beweisrechtlicher Hinsicht gilt der Grundsatz der freien Beweiswürdigung. Danach haben die urteilenden Instanzen die Beweise frei, d.h. ohne Bindung an förmliche Beweisregeln, sowie umfassend und pflichtgemäss zu würdigen.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Im Sozialversicherungsrecht hat das Gericht seinen Entscheid, sofern das Gesetz nicht etwas Abweichendes vorsieht, nach dem Beweisgrad der überwiegenden Wahrscheinlichkeit zu fällen (vgl. BGE 126 V 360 E. 5b; BGE 125 V 195 E. 2, je mit Hinweisen). 1.5  Hinsichtlich pathogenetisch-ätiologisch organisch unklarer (somatoformer) Beschwerden hat das Bundesgericht die Vermutung, deren Auswirkungen seien überwindbar, aufgegeben und das bisherige Regel-/Ausnahmemodell durch einen strukturierten, normativen Prüfungsraster ersetzt (BGE 141 V 280 f., E. 3.6 f.). Bei der Abschätzung der Folgen aus den diagnostizierten gesundheitlichen Beeinträchtigungen nimmt zuerst der Arzt Stellung zur Arbeitsfähigkeit. Die sachverständige Person schätzt das Leistungsvermögen ein und folgt dabei den einschlägigen Indikatoren (BGE 141 V 297 ff. E. 4.1.3 und E. 4.3 f.). Die Rechtsanwender überprüfen die betreffenden Angaben frei, insbesondere darauf 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objektiver Grundlage erfolgt ist (BGE 141 V 306 f. E. 5.2.1 f.). Recht und Medizin tragen in der Invalidenversicherung je nach ihren fachlichen und funktionellen Zuständigkeiten zur Festlegung ein und derselben Arbeitsunfähigkeit bei (BGE 141 V 307, E. 5.2.3). Entscheidend bleibt letztlich immer die Frage der funktionellen Auswirkungen einer Störung, welche im Rahmen des Sozialversicherungsrechts abschliessend nur aus juristischer Sicht beantwortet werden kann. Somit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54 E. 4.3; BGE 143 V 427 E. 6).</w:t>
      </w:r>
    </w:p>
    <w:p>
      <w:r>
        <w:rPr>
          <w:b/>
        </w:rPr>
        <w:t>E. 2</w:t>
      </w:r>
    </w:p>
    <w:p>
      <w:r>
        <w:t>2.1  Medizinische Grundlage der angefochtenen Verfügung bildet das bidisziplinäre (rheumatologisch-psychiatrische) Gutachten der MEDAS Zentralschweiz vom 30. Januar 2017. 2.2  Der rheumatologische Gutachter führte aus, in der aktuellen klinischen Untersuchung liessen sich als Befunde eine schmerzhafte Schwellung des Daumengrundgelenkes links und diskret des proximalen Interphalangealgelenkes am Mittelfinger rechts mit rechts leicht unvollständigem und beidseits wenig kräftigem Faustschluss erheben. Hinsichtlich Kniegelenken und linkem Hüftgelenk erhob er leichte Einschränkungen der Flexion und Extension bzw. Innenrotation. Die aktuelle radiologische Standortbestimmung zeige keine typischen psoriatischen Gelenkveränderungen und ergebe keinen Nachweis postentzündlicher Veränderungen (Iliosakralgelenk-Arthritis, Parasyndesmophytenbildung). Radiologisch bestünden Hinweise für eine diskrete, rechtsbetonte Coxarthrose, die klinisch nicht zutage trete. Hinsichtlich der angegebenen zervikalen und lumbalen Rückenschmerzen stehe ein myofaszialer Weichteilbefund bei Fehlstatik mit Haltungsinsuffizienz, muskulärer Dysbalance und Dekonditionierung im Vordergrund (IV-act. 115-26, 29 f.). Aufgrund der erhobenen Befunde am Bewegungsapparat bestünden Einschränkungen generell für körperliche Schwerarbeiten, für häufige nacken- und lendenwirbelsäulenbelastende Tätigkeiten (mit vorgeneigtem/abgedrehtem Oberkörper, Oberkörper-/Kopfrotationen, Arbeitspositionen über Kopf mit reklinierter Halswirbelsäule, mit langdauernder sitzender oder stehender Zwangsposition, mit häufigem Knien und Kauern, rein stehende oder gehende Tätigkeiten), für manuell kraftaufwändige und/oder ständig repetitive manuelle Verrichtungen und für besonders feinmotorisch anspruchsvolle manuelle Tätigkeiten (IV-act. 115-26). In der zuletzt ausgeübten Tätigkeit als Hilfskoch, in der Geschirrspülerei und als Küchengehilfe bestehe aus rheumatologischer Sicht seit Mai 2010 keine verwertbare Arbeitsfähigkeit mehr. In einer leidensadaptierten, körperlich leichten, nur gelegentlich mittelschweren Arbeit sei dem Versicherten gegenwärtig ein tägliches Arbeitspensum von rund 6 Stunden mit einer geschätzten Leistungseinschränkung von 10 %, entsprechend einer Arbeitsfähigkeit von rund 65 %, zumutbar. Dies gelte ab Datum des Gutachtens. Retrospektiv sei der Beschwerdeführer gemäss Akten ab 19. März 2012 nachvollziehbar zu 50 % arbeitsunfähig gewesen (IV-act. 115-27). Diese somatische Einschätzung wird nicht bestritten. Es liegen keine medizinischen Berichte vor, aus denen sich abweichende Einschätzungen oder vom rheumatologischen Gutachter nicht berücksichtigte objektive Gesichtspunkte ergeben. RAD-Arzt Dr.med. J.___, Facharzt für Innere Medizin, Rheumatologie, Physikalische Medizin und Rehabilitation, übernimmt die Arbeitsfähigkeitsschätzung des rheumatologischen Gutachters (mit Vorbehalt bezüglich der vom Gutachter angenommenen zukünftigen Steigerbarkeit der Arbeitsfähigkeit; Stellungnahme vom 6. Februar 2017, IV-act. 116-1 f.). Auf das rheumatologische Teilgutachten ist daher abzustellen. 2.3  Der psychiatrische Gutachter hielt fest, in Abgleich mit der rheumatologischen Begutachtung seien die körperlichen Beschwerden nicht ausreichend einer somatischen Störung zuzuordnen (IV-act. 115-47). Er diagnostizierte eine chronische Schmerzstörung mit somatischen und psychischen Faktoren (ICD-10: F 45.41; IV-act. 115-45). In der zweiten Hälfte des letzten Jahrzehnts hätten sich Probleme kumuliert beim Beschwerdeführer (Heimweh, nicht mehr erfüllbarer Wunsch seines Vaters, ihn zu sehen, Schliessung des Betriebes aus finanziellen Gründen, Arbeitslosigkeit, hinzukommende somatische Beschwerden). Diese Probleme seien als psychische Belastungsfaktoren zu werten, unter denen der Beschwerdeführer heute noch erkennbar und spürbar leide (IV-act. 115-45). Die aktuell bestehende Diagnose habe sich von diesen Belastungsfaktoren verselbständigt (IV-act. 115-48). Der psychiatrische Gutachter kam zum Schluss, in einfachen, körperlich wenig belastenden Tätigkeiten mit weniger Zeitdruck sei eine Anwesenheit von 60 % zumutbar mit einer Leistungsfähigkeit von 80 %, entsprechend einer 50 %igen Arbeitsfähigkeit. Diese attestiert der Gutachter retrospektiv seit Februar 2010 (IV-act. 115-48 f.). RAD-Arzt Dr. H.___ verneint eine ausreichende Nachvollziehbarkeit des psychiatrischen Gutachtens für das Ausmass der Einschränkungen; die Items nach Mini-ICF-App sowie die einschlägigen Standardindikatoren würden zu pauschal abgehandelt und die Beurteilung der aktuellen Therapie und die Konsistenzprüfung seien unvollständig (Stellungnahme vom 10. Februar/20. März 2017, IV-act. 116-3). Abschliessend (nach Eingang der zweiten Stellungnahme des psychiatrischen Gutachters) nahm er Stellung, von einer invalidenversicherungsrechtlich erforderlichen "schweren" Erkrankung könne nicht ausgegangen werden (IV-act. 126). Gestützt darauf stellt sich die Beschwerdegegnerin auf den Standpunkt, invalidenversicherungsrechtlich sei lediglich die vom rheumatologischen Gutachter attestierte Arbeitsunfähigkeit relevant. Darauf ist im Folgenden näher einzugehen.</w:t>
      </w:r>
    </w:p>
    <w:p>
      <w:r>
        <w:rPr>
          <w:b/>
        </w:rPr>
        <w:t>E. 3</w:t>
      </w:r>
    </w:p>
    <w:p>
      <w:r>
        <w:t>3.1  Grundsätzlich können nach bundesgerichtlicher Rechtsprechung nur schwere psychische Störungen invalidisierend sein (Urteil des Bundesgerichts vom 15. Mai 2017, 8C_753/2016, E. 4.4; BGE 143 V 425 E. 5.2.2). Der Schweregrad einer chronischen Schmerzstörung mit somatischen und psychischen Faktoren (ICD-10: F45.41) ergibt sich im Unterschied zur andauernden somatoformen Schmerzstörung, die einen andauernden, schweren und quälenden Schmerz voraussetzt, nicht aus den Diagnosekriterien, sondern ist aufgrund der funktionellen Auswirkungen zu bestimmen (vgl. ICD-10: F45.4; BGE 142 V 108 f., E. 3.3 und 4.2; BGE 143 V 425 E. 5.2.2). 3.2  Vorliegend lässt sich dem Gutachten Folgendes entnehmen: Neben der psychiatrisch diagnostizierten chronischen Schmerzstörung mit somatischen und psychischen Faktoren leidet der Beschwerdeführer unter weiteren Krankheiten, insbesondere einer Psoriasisarthropathie sowie einem chronischen zervikalen und lumbalen Schmerzsyndrom myofaszialer Prägung (IV-act. 115-30). Seitens der Persönlichkeit bestehen bei fehlenden relevanten Pathologien bis zum Eintritt der Belastungssituation keine Einschränkungen. Diese ist unauffällig, ohne Pathologien (IV-act. 115-45, 47, 48). Als relevante Einschränkungen erhob der psychiatrische Gutachter eine mittlere Beeinträchtigung der Fähigkeit zur Anpassung an Regeln und Routinen, eine leichte Beeinträchtigung der Fähigkeit zur Planung und Strukturierung, eine mittlere Beeinträchtigung der Flexibilität und Umstellungsfähigkeit, eine schwere Beeinträchtigung der fachlichen Kompetenz, eine mittlere Beeinträchtigung der Durchhaltefähigkeit, eine leichte Beeinträchtigung der Kontaktfähigkeit zu Dritten und der Gruppenfähigkeit, eine mittlere Beeinträchtigung der Fähigkeit zu familiären bzw. intimen Beziehungen und zu ausserberuflichen Aktivitäten. Nicht tangiert seien Entscheidungs- und Urteilsfähigkeit, die Fähigkeit zur Selbstversorgung und die Wegefähigkeit (IV-act. 115-47). Die aus dem Mini-ICF-Rating hervorgehenden funktionellen Einschränkungen erreichten gemäss Gutachter einen Schweregrad, welcher Einfluss habe auf die funktionelle Leistungsfähigkeit (IV-act. 115-48). Die beklagten Leiden würden sich konsistent in vergleichbaren Lebensbereichen auswirken (IV-act. 115-48). Ein wesentliches Indiz für die Auswirkungen der Erkrankungen auf die Funktionsfähigkeit seien die Beobachtungen aus dem Wiedereingliederungskontext (IV-act. 124-2). Die Schmerzstörung schränke den Beschwerdeführer privat wie beruflich ein, jedoch nicht massiv. Sein aktuelles Pensum von 50 % verrichte er zwar noch auf dem Niveau eines geschützten Settings mit Rückzugsmöglichkeiten, bewältige es aber schon seit längerer Zeit mit regelmässigem Pausieren (IV-act. 115-41, 47). Hinsichtlich der bei der Verfassung des Gutachtens noch nicht berücksichtigten, offenbar zumindest im Vorfeld der Begutachtung nicht erfolgten Medikamenteneinnahme nahm der psychiatrische Gutachter im Nachhinein plausibel Stellung, dies ändere kaum etwas an seinen Aussagen, da die aggressiven Durchbrüche bzw. die Depression bis zum Untersuchungszeitpunkt deutlich gebessert bis remittiert gewesen seien. Venlafaxin sei bei Schmerzen nicht indiziert und habe diesbezüglich selten eine relevante Wirkung, so dass auch bezüglich der somatoformen Störung kaum von einem Problem der Nichteinnahme auszugehen sei (vgl. IV-act. 116-3 und IV-act. 119-2). 3.3  Dr. H.___ verneint das Vorhandensein einer invalidenversicherungsrechtlich relevanten Schwere der diagnostizierten chronischen Schmerzstörung mit somatischen und psychischen Faktoren. Aus den Darstellungen im Gutachten, insbesondere aus den dokumentierten Untersuchungsbefunden, könne ein etwa mittelgradiger Schweregrad der psychiatrischen Erkrankung festgestellt werden. In den vom Gutachter verwendeten Skalen und Bewertungsinstrumenten seien überwiegend mittelgradige bis leichte Werte ausgewiesen worden. Auch werde klar dargelegt, dass der Beschwerdeführer meist durchschlafen könne und nicht wegen der Schmerzen erwache. Nur wenn er zu wenig schlafe, gehe es ihm bereits morgens psychisch schlecht (Stellungnahme vom 9. Juni 2017, IV-act. 126). Der Gutachter erwähne, dass die Einschränkungen in beruflicher und privater Hinsicht nicht massiv seien (Stellungnahme vom 10. Februar/20. März 2017, IV-act. 116-2 f.). Dem ist zu folgen. Lediglich die fachliche Kompetenz ist schwer beeinträchtigt, was jedoch in angepassten Tätigkeiten nicht zum Tragen kommt. Dass die vom Gutachter aufgezeigten funktionellen Einschränkungen zu einer invalidenversicherungsrechtlich relevanten Erwerbsunfähigkeit von 50 % führen, ist damit nicht nachvollziehbar ausgewiesen. Die Notwendigkeit weiterer medizinischer Abklärungen, insbesondere einer nochmaligen psychiatrischen Begutachtung, besteht nicht, denn weder aus dem Gutachten selbst noch aus den übrigen medizinischen Akten ergeben sich objektive Anhaltspunkte für eine schwerere funktionelle psychische Einschränkung. Die Ausführungen im Gutachten zu den massgeblichen Indikatoren sind zwar knapp, entsprechen aber dennoch in etwa dem Üblichen. Dr. H.___ bzw. die Beschwerdegegnerin nehmen keine vom Gutachten abweichende Interpretation der Anamnese oder von Befunden vor, weshalb keine unzulässige juristische Parallelprüfung der Arbeitsfähigkeit vorliegt. Vielmehr unterscheidet sich die Beurteilung in rein rechtlicher Hinsicht, weshalb vom Gutachten abgewichen werden darf, ohne dass dieses seinen Beweiswert verlöre (vgl. dazu Urteil des Bundesgerichts vom 27. Juni 2018, 8C_24/2018, E. 5.1). 3.4  Zusammenfassend liegt aus psychiatrischer Sicht im Zeitpunkt der Begutachtung keine hinreichend ausgewiesene invalidenversicherungsrechtlich relevante Arbeitsunfähigkeit vor. Massgebend bleibt somit die somatisch bedingte Arbeitsunfähigkeit gemäss rheumatologischem Teilgutachten von 50 % ab 19. März 2012 und 35 % ab dem Zeitpunkt der Begutachtung (IV-act. 115-27). Weiter zurückliegend ist ab Juli 2009 bis 14. Februar 2010 von einer vollständigen Arbeitsunfähigkeit und ab 15. Februar 2010 von einer durch die inzwischen remittierte Depression begründeten Arbeitsunfähigkeit von 50 % auszugehen (Arztbericht Dr. B.___ vom 4. Januar 2011, IV-act. 32).</w:t>
      </w:r>
    </w:p>
    <w:p>
      <w:r>
        <w:rPr>
          <w:b/>
        </w:rPr>
        <w:t>E. 4</w:t>
      </w:r>
    </w:p>
    <w:p>
      <w:r>
        <w:t>4.1  Der Beschwerdeführer meldete sich am 8. September 2010 bei der IV zum Leistungsbezug an. Ein Rentenanspruch besteht somit frühestens ab 1. März 2011 (Art. 29 Abs. 1 und 3 IVG). Zu diesem Zeitpunkt war aufgrund der ab Juli 2009 attestierten psychisch bedingten Arbeitsunfähigkeit von 100 bzw. 50 % (und bereits zuvor höher) das Wartejahr gemäss Art. 20 Abs. 1 lit. b IVG abgelaufen. Massgebend für den Einkommensvergleich ist somit das Jahr 2011 (BGE 129 V 222). 4.2  Für die Bemessung des Valideneinkommens ist auf den als Hilfskoch im Restaurant K.___ erzielten Verdienst abzustellen, zumal der Beschwerdeführer die spätere Stelle in der Geschirrwäscherei der Kantonalen Psychiatrischen Dienste L.___ nach wenigen Monaten gesundheitsbedingt aufgeben musste (IV-act. 4-1 ff.; IV-act. 6-7). Die Stelle im Restaurant K.___ hatte der Beschwerdeführer bereits seit Juni 1998 inne, es erfolgte offenbar per 1. November 2006 ein Inhaberwechsel (vgl. Arbeitszeugnisse vom 31. Oktober 2006, IV-act. 6-5, und vom 31. Oktober 2007, IV-act. 6-4). Diese Tätigkeit kann somit als angestammt betrachtet werden. Auch wenn der Beschwerdeführer die Stelle verlor, weil das Restaurant geschlossen wurde (Angabe Arbeitgeberin vom 30. September 2010, IV-act. 24-1), ist davon auszugehen, dass er aufgrund seiner Erfahrung im Gesundheitsfall an einer vergleichbaren Stelle ein ähnlich hohes Einkommen erzielt hätte. Dieses belief sich vom 1. November 2006 bis 31. Oktober 2007 auf Fr. 57'820.-- (Fr. 9'440.-- + Fr. 48'380.--, IK-Auszug, IV-act. 94-2; vgl. auch Angaben Arbeitgeberin vom 30. September 2010, IV-act. 24). Gemäss Lohnentwicklung des Bundesamtes für Statistik (BFS) beläuft sich das Einkommen unter Berücksichtigung der Nominallohnentwicklung bis zum Jahr 2011 auf Fr. 61'323.-- (T39, Index Männer 2007: 2047; 2011: 2171). Hinzu kommen die im IK-Auszug weiter aufgeführten Einkommen von M.___, welche 2006 und 2007 mit Fr. 1'404.-- sowie 2008 mit Fr. 2'045.-- verzeichnet sind (IK-Auszug, IV-act. 94). Unter Berücksichtigung der Nominallohnentwicklung bis zum Jahr 2011 (massgebliche Indizes: 2006: 2014, 2007: 2047, 2008: 2092, 2011: 2171) ergibt sich ein auf das Jahr 2011 hochgerechneter Durchschnitt von Fr. 1'708.-- ([Fr. 1'404.-- : 2014 x 2171] [Fr. 1'404.-- :2047 x 2171] + [Fr. 2'045.-- : 2092 x 2171]). Das gesamte Valideneinkommen beträgt somit Fr. 63'031.-- (Fr. 61'323.-- + Fr. 1'708.--). 4.3  Ausgangswert für das Invalideneinkommen ist das Durchschnittseinkommen 2011, Anforderungsniveau 4, Männer, von Fr. 61'910.-- (Informationsstelle AHV/IV, IV, Ausgabe 2018, Bern 2018, Anhang 2). Da neben der somatischen auch von einer - diese aber hinsichtlich der Erwerbsunfähigkeit nicht übersteigenden - psychischen Beeinträchtigung auszugehen ist und insbesondere auch in somatischer Hinsicht nur noch eine Teilzeitarbeit zumutbar ist, , rechtfertigt sich ein Tabellenlohnabzug von 10 %. Bei einer Arbeitsfähigkeit von 65 % beträgt das Invalideneinkommen Fr. 36'217.-- (0,65 x Fr. 61'910.-- x 0,9), bei einer Arbeitsunfähigkeit von 50 % Fr. 27'860.-- (0,5 x Fr. 61'910.-- x 0,9). Gemäss Gutachten betrug die Arbeitsfähigkeit bis zur Begutachtung im Januar 2017 50 %, danach 65 %. 4.4  Auf die rückwirkende Zusprache einer abgestuften und/oder befristeten Invalidenrente sind die für die Rentenrevision geltenden Normen (Art. 17 ATSG i.V.m. Art. 88a IVV)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 Grund eines Gutachtens überwiegend wahrscheinlich, dass sich der Gesundheitszustand verbessert hat, nicht aber ersichtlich, in welchem Zeitpunkt diese Besserung stattgefunden hat, so kann es sich jedoch rechtfertigen, die Rente bereits auf den Zeitpunkt des Gutachtens hin herabzusetzen oder aufzuheben (Urteil des Bundesgerichts vom 10. Februar 2012, 8C_670/2011, E. 5.1 mit Hinweisen). Vorliegend war die Depression gemäss Gutachten bereits im Jahr 2016 remittiert (IV-act. 115-46), sodass Art.  88a Abs. 1 IVV nicht anzuwenden ist. 4.5  Demnach hat der Beschwerdeführer vom 1. März 2011 bis 31. Januar 2017 Anspruch auf eine halbe Rente (Valideneinkommen Fr. 63'031.--, Invalideneinkommen  Fr. 27'860.--, Invaliditätsgrad 55,8 %) und ab 1. Februar 2017 auf eine Viertelsrente (Valideneinkommen Fr. 63'031.--, Invalideneinkommen Fr. 36'217.-- , Invaliditätsgrad 42,5 %).</w:t>
      </w:r>
    </w:p>
    <w:p>
      <w:r>
        <w:rPr>
          <w:b/>
        </w:rPr>
        <w:t>E. 5</w:t>
      </w:r>
    </w:p>
    <w:p>
      <w:r>
        <w:t>5.1  Nach dem Gesagten ist die angefochtene Verfügung in teilweiser Gutheissung der Beschwerde aufzuheben und dem Beschwerdeführer ab 1. März 2011 eine halbe Rente und ab 1. Februar 2017 eine Viertelsrente zuzusprechen.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Die Rechtsvertreterin des Beschwerdeführers hat keine Kostennote eingereicht. Aufgrund der Bedeutung der Streitsache und dem Aufwand ist dem Beschwerdeführer eine Parteientschädigung von praxisgemäss Fr. 3'500.-- (inklusive Barauslagen und Mehrwertsteuer) zuzusprechen. Bei diesem Ergebnis erübrigt sich die Festsetzung einer Entschädigung aus der unentgeltlichen Rechtsverbeiständung. Entscheid im Zirkulationsverfahren gemäss Art. 39 VRP 1. In teilweiser Gutheissung der Beschwerde wird die angefochtene Verfügung vom 27. September 2017 aufgehoben und dem Beschwerdeführer ab 1. März 2011 eine halbe Rente und ab 1. Februar 2017 eine Viertelsrente zugesprochen. Die Sache wird zur Festsetzung und Ausrichtung der geschuldeten Leistungen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